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00348A" w:rsidTr="0000348A">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00348A" w:rsidRDefault="0000348A">
            <w:pPr>
              <w:pStyle w:val="Ningnestilodeprrafo"/>
              <w:suppressAutoHyphens/>
              <w:jc w:val="center"/>
              <w:rPr>
                <w:rFonts w:ascii="HelveticaNeueLTStd-Bd" w:hAnsi="HelveticaNeueLTStd-Bd" w:cs="HelveticaNeueLTStd-Bd"/>
                <w:b/>
                <w:bCs/>
                <w:u w:color="000000"/>
              </w:rPr>
            </w:pPr>
            <w:r>
              <w:rPr>
                <w:rFonts w:ascii="HelveticaNeueLTStd-Bd" w:hAnsi="HelveticaNeueLTStd-Bd" w:cs="HelveticaNeueLTStd-Bd"/>
                <w:b/>
                <w:bCs/>
                <w:u w:color="000000"/>
              </w:rPr>
              <w:t>DATOS</w:t>
            </w:r>
          </w:p>
          <w:p w:rsidR="0000348A" w:rsidRDefault="0000348A">
            <w:pPr>
              <w:pStyle w:val="Ningnestilodeprrafo"/>
              <w:suppressAutoHyphens/>
              <w:jc w:val="center"/>
            </w:pPr>
            <w:r>
              <w:rPr>
                <w:rFonts w:ascii="HelveticaNeueLTStd-Bd" w:hAnsi="HelveticaNeueLTStd-Bd" w:cs="HelveticaNeueLTStd-Bd"/>
                <w:b/>
                <w:bCs/>
                <w:u w:color="000000"/>
              </w:rPr>
              <w:t>REMITENTE</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00348A" w:rsidRDefault="0000348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00348A" w:rsidRDefault="0000348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Kepaquerita, SL</w:t>
            </w:r>
          </w:p>
          <w:p w:rsidR="0000348A" w:rsidRDefault="0000348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 Conde de la Moraeterna, 13</w:t>
            </w:r>
          </w:p>
          <w:p w:rsidR="0000348A" w:rsidRDefault="0000348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00348A" w:rsidRDefault="0000348A">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atención del Sr. Sinblanca</w:t>
            </w:r>
          </w:p>
          <w:p w:rsidR="0000348A" w:rsidRDefault="0000348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w:t>
            </w:r>
          </w:p>
          <w:p w:rsidR="0000348A" w:rsidRDefault="0000348A">
            <w:pPr>
              <w:pStyle w:val="Ningnestilodeprrafo"/>
              <w:suppressAutoHyphens/>
              <w:ind w:left="1701"/>
              <w:jc w:val="both"/>
            </w:pPr>
          </w:p>
        </w:tc>
      </w:tr>
    </w:tbl>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rPr>
      </w:pP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Apreciados Sres:</w:t>
      </w: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Como ustedes saben, somos sus proveedores habituales de material de oficina. La forma de pago estipulada de sus compras es mediante un aplazamiento de sesenta días contados desde la fecha de entrega de los suministros. Para la liquidación de las facturas vencidas les venimos girando recibos en su cuenta bancaria de acuerdo con las condiciones contractuales.</w:t>
      </w:r>
    </w:p>
    <w:p w:rsidR="0000348A" w:rsidRDefault="0000348A" w:rsidP="0000348A">
      <w:pPr>
        <w:pStyle w:val="Ningnestilodeprrafo"/>
        <w:tabs>
          <w:tab w:val="left" w:pos="4760"/>
        </w:tabs>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Con respecto a dichos cargos, les informamos que nos ha llegado devuelto el recibo con vencimiento 08/07/2012, por un importe de 7.877,32 euros, que fue domiciliado en su cuenta del Banco del Fomento, según las condiciones de pago acordadas, y que corresponde a la liquidación de nuestra factura n.º 12568.</w:t>
      </w:r>
    </w:p>
    <w:tbl>
      <w:tblPr>
        <w:tblW w:w="0" w:type="auto"/>
        <w:tblInd w:w="113" w:type="dxa"/>
        <w:tblLayout w:type="fixed"/>
        <w:tblCellMar>
          <w:left w:w="0" w:type="dxa"/>
          <w:right w:w="0" w:type="dxa"/>
        </w:tblCellMar>
        <w:tblLook w:val="0000"/>
      </w:tblPr>
      <w:tblGrid>
        <w:gridCol w:w="1274"/>
        <w:gridCol w:w="1436"/>
        <w:gridCol w:w="1259"/>
        <w:gridCol w:w="1796"/>
        <w:gridCol w:w="1259"/>
        <w:gridCol w:w="1623"/>
      </w:tblGrid>
      <w:tr w:rsidR="0000348A">
        <w:tblPrEx>
          <w:tblCellMar>
            <w:top w:w="0" w:type="dxa"/>
            <w:left w:w="0" w:type="dxa"/>
            <w:bottom w:w="0" w:type="dxa"/>
            <w:right w:w="0" w:type="dxa"/>
          </w:tblCellMar>
        </w:tblPrEx>
        <w:trPr>
          <w:trHeight w:val="251"/>
        </w:trPr>
        <w:tc>
          <w:tcPr>
            <w:tcW w:w="1274" w:type="dxa"/>
            <w:tcBorders>
              <w:top w:val="nil"/>
              <w:left w:val="nil"/>
              <w:bottom w:val="single" w:sz="4" w:space="0" w:color="000000"/>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FACTURA</w:t>
            </w:r>
          </w:p>
          <w:p w:rsidR="0000348A" w:rsidRDefault="0000348A">
            <w:pPr>
              <w:pStyle w:val="Ningnestilodeprrafo"/>
              <w:suppressAutoHyphens/>
              <w:jc w:val="center"/>
            </w:pPr>
          </w:p>
        </w:tc>
        <w:tc>
          <w:tcPr>
            <w:tcW w:w="1436" w:type="dxa"/>
            <w:tcBorders>
              <w:top w:val="nil"/>
              <w:left w:val="nil"/>
              <w:bottom w:val="single" w:sz="4" w:space="0" w:color="000000"/>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FECHA emisión</w:t>
            </w:r>
          </w:p>
          <w:p w:rsidR="0000348A" w:rsidRDefault="0000348A">
            <w:pPr>
              <w:pStyle w:val="Ningnestilodeprrafo"/>
              <w:suppressAutoHyphens/>
              <w:jc w:val="center"/>
            </w:pPr>
          </w:p>
        </w:tc>
        <w:tc>
          <w:tcPr>
            <w:tcW w:w="1259" w:type="dxa"/>
            <w:tcBorders>
              <w:top w:val="nil"/>
              <w:left w:val="nil"/>
              <w:bottom w:val="single" w:sz="4" w:space="0" w:color="000000"/>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VTO.</w:t>
            </w:r>
          </w:p>
          <w:p w:rsidR="0000348A" w:rsidRDefault="0000348A">
            <w:pPr>
              <w:pStyle w:val="Ningnestilodeprrafo"/>
              <w:suppressAutoHyphens/>
              <w:jc w:val="center"/>
            </w:pPr>
          </w:p>
        </w:tc>
        <w:tc>
          <w:tcPr>
            <w:tcW w:w="1796" w:type="dxa"/>
            <w:tcBorders>
              <w:top w:val="nil"/>
              <w:left w:val="nil"/>
              <w:bottom w:val="single" w:sz="4" w:space="0" w:color="000000"/>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IMPORTE</w:t>
            </w:r>
          </w:p>
          <w:p w:rsidR="0000348A" w:rsidRDefault="0000348A">
            <w:pPr>
              <w:pStyle w:val="Ningnestilodeprrafo"/>
              <w:suppressAutoHyphens/>
              <w:jc w:val="center"/>
            </w:pPr>
          </w:p>
        </w:tc>
        <w:tc>
          <w:tcPr>
            <w:tcW w:w="1259" w:type="dxa"/>
            <w:tcBorders>
              <w:top w:val="nil"/>
              <w:left w:val="nil"/>
              <w:bottom w:val="single" w:sz="4" w:space="0" w:color="000000"/>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GASTOS</w:t>
            </w:r>
          </w:p>
          <w:p w:rsidR="0000348A" w:rsidRDefault="0000348A">
            <w:pPr>
              <w:pStyle w:val="Ningnestilodeprrafo"/>
              <w:suppressAutoHyphens/>
              <w:jc w:val="center"/>
            </w:pPr>
          </w:p>
        </w:tc>
        <w:tc>
          <w:tcPr>
            <w:tcW w:w="1623" w:type="dxa"/>
            <w:tcBorders>
              <w:top w:val="nil"/>
              <w:left w:val="nil"/>
              <w:bottom w:val="single" w:sz="4" w:space="0" w:color="000000"/>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TOTAL</w:t>
            </w:r>
          </w:p>
          <w:p w:rsidR="0000348A" w:rsidRDefault="0000348A">
            <w:pPr>
              <w:pStyle w:val="Ningnestilodeprrafo"/>
              <w:suppressAutoHyphens/>
              <w:jc w:val="center"/>
            </w:pPr>
          </w:p>
        </w:tc>
      </w:tr>
      <w:tr w:rsidR="0000348A">
        <w:tblPrEx>
          <w:tblCellMar>
            <w:top w:w="0" w:type="dxa"/>
            <w:left w:w="0" w:type="dxa"/>
            <w:bottom w:w="0" w:type="dxa"/>
            <w:right w:w="0" w:type="dxa"/>
          </w:tblCellMar>
        </w:tblPrEx>
        <w:trPr>
          <w:trHeight w:val="469"/>
        </w:trPr>
        <w:tc>
          <w:tcPr>
            <w:tcW w:w="1274" w:type="dxa"/>
            <w:tcBorders>
              <w:top w:val="single" w:sz="4" w:space="0" w:color="000000"/>
              <w:left w:val="nil"/>
              <w:bottom w:val="nil"/>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12568</w:t>
            </w:r>
          </w:p>
          <w:p w:rsidR="0000348A" w:rsidRDefault="0000348A">
            <w:pPr>
              <w:pStyle w:val="Ningnestilodeprrafo"/>
              <w:suppressAutoHyphens/>
              <w:jc w:val="center"/>
            </w:pPr>
          </w:p>
        </w:tc>
        <w:tc>
          <w:tcPr>
            <w:tcW w:w="1436" w:type="dxa"/>
            <w:tcBorders>
              <w:top w:val="single" w:sz="4" w:space="0" w:color="000000"/>
              <w:left w:val="nil"/>
              <w:bottom w:val="nil"/>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08/05/12</w:t>
            </w:r>
          </w:p>
          <w:p w:rsidR="0000348A" w:rsidRDefault="0000348A">
            <w:pPr>
              <w:pStyle w:val="Ningnestilodeprrafo"/>
              <w:suppressAutoHyphens/>
              <w:jc w:val="center"/>
            </w:pPr>
          </w:p>
        </w:tc>
        <w:tc>
          <w:tcPr>
            <w:tcW w:w="1259" w:type="dxa"/>
            <w:tcBorders>
              <w:top w:val="single" w:sz="4" w:space="0" w:color="000000"/>
              <w:left w:val="nil"/>
              <w:bottom w:val="nil"/>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08/07/12</w:t>
            </w:r>
          </w:p>
          <w:p w:rsidR="0000348A" w:rsidRDefault="0000348A">
            <w:pPr>
              <w:pStyle w:val="Ningnestilodeprrafo"/>
              <w:suppressAutoHyphens/>
              <w:jc w:val="center"/>
            </w:pPr>
          </w:p>
        </w:tc>
        <w:tc>
          <w:tcPr>
            <w:tcW w:w="1796" w:type="dxa"/>
            <w:tcBorders>
              <w:top w:val="single" w:sz="4" w:space="0" w:color="000000"/>
              <w:left w:val="nil"/>
              <w:bottom w:val="nil"/>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7.877,32 €</w:t>
            </w:r>
          </w:p>
          <w:p w:rsidR="0000348A" w:rsidRDefault="0000348A">
            <w:pPr>
              <w:pStyle w:val="Ningnestilodeprrafo"/>
              <w:suppressAutoHyphens/>
              <w:jc w:val="center"/>
            </w:pPr>
          </w:p>
        </w:tc>
        <w:tc>
          <w:tcPr>
            <w:tcW w:w="1259" w:type="dxa"/>
            <w:tcBorders>
              <w:top w:val="single" w:sz="4" w:space="0" w:color="000000"/>
              <w:left w:val="nil"/>
              <w:bottom w:val="nil"/>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60,38 €</w:t>
            </w:r>
          </w:p>
          <w:p w:rsidR="0000348A" w:rsidRDefault="0000348A">
            <w:pPr>
              <w:pStyle w:val="Ningnestilodeprrafo"/>
              <w:suppressAutoHyphens/>
              <w:jc w:val="center"/>
            </w:pPr>
          </w:p>
        </w:tc>
        <w:tc>
          <w:tcPr>
            <w:tcW w:w="1623" w:type="dxa"/>
            <w:tcBorders>
              <w:top w:val="single" w:sz="4" w:space="0" w:color="000000"/>
              <w:left w:val="nil"/>
              <w:bottom w:val="nil"/>
              <w:right w:val="nil"/>
            </w:tcBorders>
            <w:tcMar>
              <w:top w:w="113" w:type="dxa"/>
              <w:left w:w="113" w:type="dxa"/>
              <w:bottom w:w="113" w:type="dxa"/>
              <w:right w:w="113" w:type="dxa"/>
            </w:tcMar>
            <w:vAlign w:val="center"/>
          </w:tcPr>
          <w:p w:rsidR="0000348A" w:rsidRDefault="0000348A">
            <w:pPr>
              <w:pStyle w:val="Ningnestilodeprrafo"/>
              <w:suppressAutoHyphens/>
              <w:jc w:val="center"/>
              <w:rPr>
                <w:rFonts w:ascii="HelveticaNeueLTStd-Roman" w:hAnsi="HelveticaNeueLTStd-Roman" w:cs="HelveticaNeueLTStd-Roman"/>
                <w:sz w:val="22"/>
                <w:szCs w:val="22"/>
              </w:rPr>
            </w:pPr>
            <w:r>
              <w:rPr>
                <w:rFonts w:ascii="HelveticaNeueLTStd-Bd" w:hAnsi="HelveticaNeueLTStd-Bd" w:cs="HelveticaNeueLTStd-Bd"/>
                <w:b/>
                <w:bCs/>
                <w:sz w:val="22"/>
                <w:szCs w:val="22"/>
              </w:rPr>
              <w:t>7.937,70</w:t>
            </w:r>
            <w:r>
              <w:rPr>
                <w:rFonts w:ascii="HelveticaNeueLTStd-Roman" w:hAnsi="HelveticaNeueLTStd-Roman" w:cs="HelveticaNeueLTStd-Roman"/>
                <w:sz w:val="22"/>
                <w:szCs w:val="22"/>
              </w:rPr>
              <w:t xml:space="preserve"> €</w:t>
            </w:r>
          </w:p>
          <w:p w:rsidR="0000348A" w:rsidRDefault="0000348A">
            <w:pPr>
              <w:pStyle w:val="Ningnestilodeprrafo"/>
              <w:suppressAutoHyphens/>
              <w:jc w:val="center"/>
            </w:pPr>
          </w:p>
        </w:tc>
      </w:tr>
    </w:tbl>
    <w:p w:rsidR="0000348A" w:rsidRDefault="0000348A" w:rsidP="0000348A">
      <w:pPr>
        <w:pStyle w:val="Ningnestilodeprrafo"/>
        <w:tabs>
          <w:tab w:val="left" w:pos="4760"/>
        </w:tabs>
        <w:suppressAutoHyphens/>
        <w:spacing w:after="283"/>
        <w:jc w:val="center"/>
        <w:rPr>
          <w:rFonts w:ascii="HelveticaNeueLTStd-Roman" w:hAnsi="HelveticaNeueLTStd-Roman" w:cs="HelveticaNeueLTStd-Roman"/>
          <w:sz w:val="22"/>
          <w:szCs w:val="22"/>
          <w:u w:val="thick" w:color="000000"/>
        </w:rPr>
      </w:pP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Con el fin de evitar el cargo de los intereses moratorios fijados por el artículo 7 de la Ley 3/2004 de 29 de diciembre 2004, les rogamos que nos reintegren el importe indicado, mediante transferencia o ingreso en nuestra cuenta del Banco Continental IBAN ES45 3691 2587 2013 7169 2412, haciendo constar su razón social y NIF.</w:t>
      </w: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Una vez efectuada dicha transferencia, les rogamos nos envíen una copia del justificante por fax al 917304199 a la atención del señor Jaime García o escaneado por email a: j.garcia@gestioncobros.com.</w:t>
      </w: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caso de necesitar cualquier aclaración con respecto a la factura cuyo pago les reclamamos, les rogamos que se pongan en contacto con el señor García en el teléfono 917209288 o a través de correo electrónico: j.garcia@gestioncobros.com.</w:t>
      </w: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Así pues, les rogamos que nos hagan el pago esta misma semana.</w:t>
      </w: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Atentamente,</w:t>
      </w: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p>
    <w:p w:rsidR="0000348A" w:rsidRDefault="0000348A" w:rsidP="0000348A">
      <w:pPr>
        <w:pStyle w:val="Ningnestilodeprrafo"/>
        <w:tabs>
          <w:tab w:val="left" w:pos="4760"/>
        </w:tabs>
        <w:suppressAutoHyphens/>
        <w:spacing w:after="140"/>
        <w:jc w:val="both"/>
        <w:rPr>
          <w:rFonts w:ascii="HelveticaNeueLTStd-Roman" w:hAnsi="HelveticaNeueLTStd-Roman" w:cs="HelveticaNeueLTStd-Roman"/>
          <w:sz w:val="22"/>
          <w:szCs w:val="22"/>
        </w:rPr>
      </w:pPr>
    </w:p>
    <w:p w:rsidR="0000348A" w:rsidRDefault="0000348A" w:rsidP="0000348A">
      <w:pPr>
        <w:pStyle w:val="Ningnestilodeprrafo"/>
        <w:tabs>
          <w:tab w:val="left" w:pos="4700"/>
        </w:tabs>
        <w:suppressAutoHyphens/>
        <w:jc w:val="both"/>
        <w:rPr>
          <w:rFonts w:ascii="HelveticaNeueLTStd-Roman" w:hAnsi="HelveticaNeueLTStd-Roman" w:cs="HelveticaNeueLTStd-Roman"/>
          <w:spacing w:val="-2"/>
          <w:sz w:val="22"/>
          <w:szCs w:val="22"/>
        </w:rPr>
      </w:pPr>
      <w:r>
        <w:rPr>
          <w:rFonts w:ascii="HelveticaNeueLTStd-Roman" w:hAnsi="HelveticaNeueLTStd-Roman" w:cs="HelveticaNeueLTStd-Roman"/>
          <w:sz w:val="22"/>
          <w:szCs w:val="22"/>
        </w:rPr>
        <w:tab/>
      </w:r>
      <w:r>
        <w:rPr>
          <w:rFonts w:ascii="HelveticaNeueLTStd-Roman" w:hAnsi="HelveticaNeueLTStd-Roman" w:cs="HelveticaNeueLTStd-Roman"/>
          <w:spacing w:val="-2"/>
          <w:sz w:val="22"/>
          <w:szCs w:val="22"/>
        </w:rPr>
        <w:t>David Pérez</w:t>
      </w:r>
    </w:p>
    <w:p w:rsidR="0000348A" w:rsidRDefault="0000348A" w:rsidP="0000348A">
      <w:pPr>
        <w:pStyle w:val="Ningnestilodeprrafo"/>
        <w:tabs>
          <w:tab w:val="left" w:pos="4700"/>
        </w:tabs>
        <w:suppressAutoHyphens/>
        <w:spacing w:after="140"/>
        <w:rPr>
          <w:rFonts w:ascii="HelveticaNeueLTStd-Roman" w:hAnsi="HelveticaNeueLTStd-Roman" w:cs="HelveticaNeueLTStd-Roman"/>
          <w:spacing w:val="-2"/>
        </w:rPr>
      </w:pPr>
      <w:r>
        <w:rPr>
          <w:rFonts w:ascii="HelveticaNeueLTStd-Roman" w:hAnsi="HelveticaNeueLTStd-Roman" w:cs="HelveticaNeueLTStd-Roman"/>
          <w:spacing w:val="-2"/>
          <w:sz w:val="22"/>
          <w:szCs w:val="22"/>
        </w:rPr>
        <w:tab/>
        <w:t xml:space="preserve">Jefe del departamento de riesgos </w:t>
      </w:r>
      <w:r>
        <w:rPr>
          <w:rFonts w:ascii="HelveticaNeueLTStd-Roman" w:hAnsi="HelveticaNeueLTStd-Roman" w:cs="HelveticaNeueLTStd-Roman"/>
          <w:spacing w:val="-2"/>
          <w:sz w:val="22"/>
          <w:szCs w:val="22"/>
        </w:rPr>
        <w:br/>
      </w:r>
      <w:r>
        <w:rPr>
          <w:rFonts w:ascii="HelveticaNeueLTStd-Roman" w:hAnsi="HelveticaNeueLTStd-Roman" w:cs="HelveticaNeueLTStd-Roman"/>
          <w:spacing w:val="-2"/>
          <w:sz w:val="22"/>
          <w:szCs w:val="22"/>
        </w:rPr>
        <w:tab/>
        <w:t>de Acreedores, S.A.</w:t>
      </w:r>
    </w:p>
    <w:p w:rsidR="00F33C68" w:rsidRDefault="0000348A"/>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0348A"/>
    <w:rsid w:val="0000348A"/>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00348A"/>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1534</Characters>
  <Application>Microsoft Word 12.0.0</Application>
  <DocSecurity>0</DocSecurity>
  <Lines>12</Lines>
  <Paragraphs>3</Paragraphs>
  <ScaleCrop>false</ScaleCrop>
  <Company>Eximpre sl</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2012-03-09T09:26:00Z</dcterms:created>
  <dcterms:modified xsi:type="dcterms:W3CDTF">2012-03-09T09:26:00Z</dcterms:modified>
</cp:coreProperties>
</file>